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D2FC3" w14:textId="0EBC5A09" w:rsidR="002E716F" w:rsidRPr="00A802E7" w:rsidRDefault="002E716F" w:rsidP="00A802E7">
      <w:pPr>
        <w:rPr>
          <w:rFonts w:ascii="Calibri" w:hAnsi="Calibri" w:cs="Calibri"/>
          <w:b/>
          <w:bCs/>
        </w:rPr>
      </w:pPr>
      <w:r w:rsidRPr="00A802E7">
        <w:rPr>
          <w:rFonts w:ascii="Calibri" w:hAnsi="Calibri" w:cs="Calibri"/>
          <w:b/>
          <w:bCs/>
        </w:rPr>
        <w:t>UK Extended Producer Responsibility (EPR) for Packaging -</w:t>
      </w:r>
      <w:r w:rsidRPr="002E716F">
        <w:rPr>
          <w:rFonts w:ascii="Calibri" w:hAnsi="Calibri" w:cs="Calibri"/>
          <w:b/>
          <w:bCs/>
        </w:rPr>
        <w:t xml:space="preserve"> Fee Modulation Survey</w:t>
      </w:r>
    </w:p>
    <w:p w14:paraId="04399555" w14:textId="77777777" w:rsidR="00A802E7" w:rsidRDefault="002E716F" w:rsidP="002E716F">
      <w:pPr>
        <w:rPr>
          <w:rFonts w:ascii="Calibri" w:hAnsi="Calibri" w:cs="Calibri"/>
          <w:sz w:val="22"/>
          <w:szCs w:val="22"/>
        </w:rPr>
      </w:pPr>
      <w:r w:rsidRPr="00A802E7">
        <w:rPr>
          <w:rFonts w:ascii="Calibri" w:hAnsi="Calibri" w:cs="Calibri"/>
          <w:sz w:val="22"/>
          <w:szCs w:val="22"/>
        </w:rPr>
        <w:t xml:space="preserve">The deadline for responses to the survey is </w:t>
      </w:r>
      <w:r w:rsidRPr="00A802E7">
        <w:rPr>
          <w:rFonts w:ascii="Calibri" w:hAnsi="Calibri" w:cs="Calibri"/>
          <w:b/>
          <w:bCs/>
          <w:color w:val="FF0000"/>
          <w:sz w:val="22"/>
          <w:szCs w:val="22"/>
        </w:rPr>
        <w:t>17:00 on 25 April 2025</w:t>
      </w:r>
      <w:r w:rsidRPr="00A802E7">
        <w:rPr>
          <w:rFonts w:ascii="Calibri" w:hAnsi="Calibri" w:cs="Calibri"/>
          <w:sz w:val="22"/>
          <w:szCs w:val="22"/>
        </w:rPr>
        <w:t xml:space="preserve">. </w:t>
      </w:r>
      <w:r w:rsidR="00A802E7">
        <w:rPr>
          <w:rFonts w:ascii="Calibri" w:hAnsi="Calibri" w:cs="Calibri"/>
          <w:sz w:val="22"/>
          <w:szCs w:val="22"/>
        </w:rPr>
        <w:t xml:space="preserve"> </w:t>
      </w:r>
    </w:p>
    <w:p w14:paraId="34F24373" w14:textId="683CEC13" w:rsidR="002E716F" w:rsidRDefault="002E716F" w:rsidP="002E716F">
      <w:pPr>
        <w:rPr>
          <w:rFonts w:ascii="Calibri" w:hAnsi="Calibri" w:cs="Calibri"/>
          <w:sz w:val="22"/>
          <w:szCs w:val="22"/>
        </w:rPr>
      </w:pPr>
      <w:r w:rsidRPr="00A802E7">
        <w:rPr>
          <w:rFonts w:ascii="Calibri" w:hAnsi="Calibri" w:cs="Calibri"/>
          <w:sz w:val="22"/>
          <w:szCs w:val="22"/>
        </w:rPr>
        <w:t xml:space="preserve">The survey can be accessed </w:t>
      </w:r>
      <w:hyperlink r:id="rId5" w:history="1">
        <w:r w:rsidRPr="00A802E7">
          <w:rPr>
            <w:rStyle w:val="Hyperlink"/>
            <w:rFonts w:ascii="Calibri" w:hAnsi="Calibri" w:cs="Calibri"/>
            <w:b/>
            <w:bCs/>
            <w:sz w:val="22"/>
            <w:szCs w:val="22"/>
          </w:rPr>
          <w:t>here</w:t>
        </w:r>
      </w:hyperlink>
      <w:r w:rsidRPr="00A802E7">
        <w:rPr>
          <w:rFonts w:ascii="Calibri" w:hAnsi="Calibri" w:cs="Calibri"/>
          <w:sz w:val="22"/>
          <w:szCs w:val="22"/>
        </w:rPr>
        <w:t xml:space="preserve">. </w:t>
      </w:r>
    </w:p>
    <w:p w14:paraId="0FB685EF" w14:textId="77777777" w:rsidR="00A802E7" w:rsidRPr="00A802E7" w:rsidRDefault="00A802E7" w:rsidP="002E716F">
      <w:pPr>
        <w:rPr>
          <w:rFonts w:ascii="Calibri" w:hAnsi="Calibri" w:cs="Calibri"/>
          <w:sz w:val="22"/>
          <w:szCs w:val="22"/>
        </w:rPr>
      </w:pPr>
    </w:p>
    <w:p w14:paraId="6BF91739" w14:textId="040E557D"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What type of stakeholder are you?</w:t>
      </w:r>
    </w:p>
    <w:p w14:paraId="16E31112" w14:textId="04914BD7" w:rsidR="002E716F" w:rsidRPr="00A802E7" w:rsidRDefault="002E716F" w:rsidP="002E716F">
      <w:pPr>
        <w:pStyle w:val="ListParagraph"/>
        <w:numPr>
          <w:ilvl w:val="0"/>
          <w:numId w:val="2"/>
        </w:numPr>
        <w:rPr>
          <w:rFonts w:ascii="Calibri" w:hAnsi="Calibri" w:cs="Calibri"/>
          <w:sz w:val="22"/>
          <w:szCs w:val="22"/>
        </w:rPr>
      </w:pPr>
      <w:r w:rsidRPr="00A802E7">
        <w:rPr>
          <w:rFonts w:ascii="Calibri" w:hAnsi="Calibri" w:cs="Calibri"/>
          <w:sz w:val="22"/>
          <w:szCs w:val="22"/>
        </w:rPr>
        <w:t xml:space="preserve">Large Packaging Obligated Producer (greater than £2m annual turnover and supply or import greater than 50 tonnes per year of packaging on to the UK market), liable to pay </w:t>
      </w:r>
      <w:proofErr w:type="spellStart"/>
      <w:r w:rsidRPr="00A802E7">
        <w:rPr>
          <w:rFonts w:ascii="Calibri" w:hAnsi="Calibri" w:cs="Calibri"/>
          <w:sz w:val="22"/>
          <w:szCs w:val="22"/>
        </w:rPr>
        <w:t>pEPR</w:t>
      </w:r>
      <w:proofErr w:type="spellEnd"/>
      <w:r w:rsidRPr="00A802E7">
        <w:rPr>
          <w:rFonts w:ascii="Calibri" w:hAnsi="Calibri" w:cs="Calibri"/>
          <w:sz w:val="22"/>
          <w:szCs w:val="22"/>
        </w:rPr>
        <w:t xml:space="preserve"> fees</w:t>
      </w:r>
    </w:p>
    <w:p w14:paraId="12A4771B" w14:textId="656E962E" w:rsidR="002E716F" w:rsidRPr="00A802E7" w:rsidRDefault="002E716F" w:rsidP="002E716F">
      <w:pPr>
        <w:pStyle w:val="ListParagraph"/>
        <w:numPr>
          <w:ilvl w:val="0"/>
          <w:numId w:val="2"/>
        </w:numPr>
        <w:rPr>
          <w:rFonts w:ascii="Calibri" w:hAnsi="Calibri" w:cs="Calibri"/>
          <w:sz w:val="22"/>
          <w:szCs w:val="22"/>
        </w:rPr>
      </w:pPr>
      <w:r w:rsidRPr="00A802E7">
        <w:rPr>
          <w:rFonts w:ascii="Calibri" w:hAnsi="Calibri" w:cs="Calibri"/>
          <w:sz w:val="22"/>
          <w:szCs w:val="22"/>
        </w:rPr>
        <w:t xml:space="preserve">Other Packaging Producer, not liable to pay </w:t>
      </w:r>
      <w:proofErr w:type="spellStart"/>
      <w:r w:rsidRPr="00A802E7">
        <w:rPr>
          <w:rFonts w:ascii="Calibri" w:hAnsi="Calibri" w:cs="Calibri"/>
          <w:sz w:val="22"/>
          <w:szCs w:val="22"/>
        </w:rPr>
        <w:t>pEPR</w:t>
      </w:r>
      <w:proofErr w:type="spellEnd"/>
      <w:r w:rsidRPr="00A802E7">
        <w:rPr>
          <w:rFonts w:ascii="Calibri" w:hAnsi="Calibri" w:cs="Calibri"/>
          <w:sz w:val="22"/>
          <w:szCs w:val="22"/>
        </w:rPr>
        <w:t xml:space="preserve"> fees</w:t>
      </w:r>
    </w:p>
    <w:p w14:paraId="1C51CD81" w14:textId="72B30B40" w:rsidR="002E716F" w:rsidRPr="00A802E7" w:rsidRDefault="002E716F" w:rsidP="002E716F">
      <w:pPr>
        <w:pStyle w:val="ListParagraph"/>
        <w:numPr>
          <w:ilvl w:val="0"/>
          <w:numId w:val="2"/>
        </w:numPr>
        <w:rPr>
          <w:rFonts w:ascii="Calibri" w:hAnsi="Calibri" w:cs="Calibri"/>
          <w:sz w:val="22"/>
          <w:szCs w:val="22"/>
        </w:rPr>
      </w:pPr>
      <w:r w:rsidRPr="00A802E7">
        <w:rPr>
          <w:rFonts w:ascii="Calibri" w:hAnsi="Calibri" w:cs="Calibri"/>
          <w:sz w:val="22"/>
          <w:szCs w:val="22"/>
        </w:rPr>
        <w:t>Trade body or industry representative</w:t>
      </w:r>
    </w:p>
    <w:p w14:paraId="0ECABD51" w14:textId="0641CE48" w:rsidR="002E716F" w:rsidRPr="00A802E7" w:rsidRDefault="002E716F" w:rsidP="002E716F">
      <w:pPr>
        <w:pStyle w:val="ListParagraph"/>
        <w:numPr>
          <w:ilvl w:val="0"/>
          <w:numId w:val="2"/>
        </w:numPr>
        <w:rPr>
          <w:rFonts w:ascii="Calibri" w:hAnsi="Calibri" w:cs="Calibri"/>
          <w:sz w:val="22"/>
          <w:szCs w:val="22"/>
        </w:rPr>
      </w:pPr>
      <w:r w:rsidRPr="00A802E7">
        <w:rPr>
          <w:rFonts w:ascii="Calibri" w:hAnsi="Calibri" w:cs="Calibri"/>
          <w:sz w:val="22"/>
          <w:szCs w:val="22"/>
        </w:rPr>
        <w:t>NGO/Charity</w:t>
      </w:r>
    </w:p>
    <w:p w14:paraId="272978C8" w14:textId="3CAF7AC8" w:rsidR="002E716F" w:rsidRPr="00A802E7" w:rsidRDefault="002E716F" w:rsidP="002E716F">
      <w:pPr>
        <w:pStyle w:val="ListParagraph"/>
        <w:numPr>
          <w:ilvl w:val="0"/>
          <w:numId w:val="2"/>
        </w:numPr>
        <w:rPr>
          <w:rFonts w:ascii="Calibri" w:hAnsi="Calibri" w:cs="Calibri"/>
          <w:sz w:val="22"/>
          <w:szCs w:val="22"/>
        </w:rPr>
      </w:pPr>
      <w:r w:rsidRPr="00A802E7">
        <w:rPr>
          <w:rFonts w:ascii="Calibri" w:hAnsi="Calibri" w:cs="Calibri"/>
          <w:sz w:val="22"/>
          <w:szCs w:val="22"/>
        </w:rPr>
        <w:t>UK local government or council representative</w:t>
      </w:r>
    </w:p>
    <w:p w14:paraId="56BEA49B" w14:textId="12A4137F" w:rsidR="002E716F" w:rsidRPr="00A802E7" w:rsidRDefault="002E716F" w:rsidP="002E716F">
      <w:pPr>
        <w:pStyle w:val="ListParagraph"/>
        <w:numPr>
          <w:ilvl w:val="0"/>
          <w:numId w:val="2"/>
        </w:numPr>
        <w:rPr>
          <w:rFonts w:ascii="Calibri" w:hAnsi="Calibri" w:cs="Calibri"/>
          <w:sz w:val="22"/>
          <w:szCs w:val="22"/>
        </w:rPr>
      </w:pPr>
      <w:r w:rsidRPr="00A802E7">
        <w:rPr>
          <w:rFonts w:ascii="Calibri" w:hAnsi="Calibri" w:cs="Calibri"/>
          <w:sz w:val="22"/>
          <w:szCs w:val="22"/>
        </w:rPr>
        <w:t>Waste management company or organisation</w:t>
      </w:r>
    </w:p>
    <w:p w14:paraId="03F14AE5" w14:textId="2E7949FC" w:rsidR="002E716F" w:rsidRPr="00A802E7" w:rsidRDefault="002E716F" w:rsidP="002E716F">
      <w:pPr>
        <w:pStyle w:val="ListParagraph"/>
        <w:numPr>
          <w:ilvl w:val="0"/>
          <w:numId w:val="2"/>
        </w:numPr>
        <w:rPr>
          <w:rFonts w:ascii="Calibri" w:hAnsi="Calibri" w:cs="Calibri"/>
          <w:sz w:val="22"/>
          <w:szCs w:val="22"/>
        </w:rPr>
      </w:pPr>
      <w:r w:rsidRPr="00A802E7">
        <w:rPr>
          <w:rFonts w:ascii="Calibri" w:hAnsi="Calibri" w:cs="Calibri"/>
          <w:sz w:val="22"/>
          <w:szCs w:val="22"/>
        </w:rPr>
        <w:t>Other</w:t>
      </w:r>
    </w:p>
    <w:p w14:paraId="3B0F6525" w14:textId="77777777" w:rsidR="002E716F" w:rsidRPr="00A802E7" w:rsidRDefault="002E716F" w:rsidP="002E716F">
      <w:pPr>
        <w:rPr>
          <w:rFonts w:ascii="Calibri" w:hAnsi="Calibri" w:cs="Calibri"/>
          <w:sz w:val="22"/>
          <w:szCs w:val="22"/>
        </w:rPr>
      </w:pPr>
    </w:p>
    <w:p w14:paraId="6C558B20" w14:textId="7A966CB7"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Which material categories are you most concerned with? (select all that apply)</w:t>
      </w:r>
    </w:p>
    <w:p w14:paraId="7B75A0C2" w14:textId="48013B99"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All material categories</w:t>
      </w:r>
    </w:p>
    <w:p w14:paraId="638A265D" w14:textId="17235392"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Aluminium</w:t>
      </w:r>
    </w:p>
    <w:p w14:paraId="1E89262F" w14:textId="113DB40A"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Fibre-Based Composite</w:t>
      </w:r>
    </w:p>
    <w:p w14:paraId="2274F6E4" w14:textId="73A2056E"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Glass</w:t>
      </w:r>
    </w:p>
    <w:p w14:paraId="64067785" w14:textId="4841637E"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Paper or board</w:t>
      </w:r>
    </w:p>
    <w:p w14:paraId="0659BE20" w14:textId="369C639E"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Plastic</w:t>
      </w:r>
    </w:p>
    <w:p w14:paraId="684958F1" w14:textId="5F74B959"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Steel</w:t>
      </w:r>
    </w:p>
    <w:p w14:paraId="13AD2BBB" w14:textId="78A0E24C"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Wood</w:t>
      </w:r>
    </w:p>
    <w:p w14:paraId="53026C3B" w14:textId="1389A922" w:rsidR="002E716F" w:rsidRPr="00A802E7" w:rsidRDefault="002E716F" w:rsidP="002E716F">
      <w:pPr>
        <w:pStyle w:val="ListParagraph"/>
        <w:numPr>
          <w:ilvl w:val="0"/>
          <w:numId w:val="3"/>
        </w:numPr>
        <w:rPr>
          <w:rFonts w:ascii="Calibri" w:hAnsi="Calibri" w:cs="Calibri"/>
          <w:sz w:val="22"/>
          <w:szCs w:val="22"/>
        </w:rPr>
      </w:pPr>
      <w:r w:rsidRPr="00A802E7">
        <w:rPr>
          <w:rFonts w:ascii="Calibri" w:hAnsi="Calibri" w:cs="Calibri"/>
          <w:sz w:val="22"/>
          <w:szCs w:val="22"/>
        </w:rPr>
        <w:t>Other (any materials not listed above - for example, bamboo, ceramic, copper, cork, hemp, rubber, wool, silicone etc.)</w:t>
      </w:r>
    </w:p>
    <w:p w14:paraId="3B550FDF" w14:textId="609621AE" w:rsidR="002E716F" w:rsidRPr="00A802E7" w:rsidRDefault="00A802E7" w:rsidP="002E716F">
      <w:pPr>
        <w:rPr>
          <w:rFonts w:ascii="Calibri" w:hAnsi="Calibri" w:cs="Calibri"/>
          <w:sz w:val="22"/>
          <w:szCs w:val="22"/>
        </w:rPr>
      </w:pPr>
      <w:r w:rsidRPr="00A802E7">
        <w:rPr>
          <w:rFonts w:ascii="Calibri" w:hAnsi="Calibri" w:cs="Calibri"/>
          <w:b/>
          <w:bCs/>
          <w:sz w:val="22"/>
          <w:szCs w:val="22"/>
        </w:rPr>
        <w:drawing>
          <wp:anchor distT="0" distB="0" distL="114300" distR="114300" simplePos="0" relativeHeight="251658240" behindDoc="1" locked="0" layoutInCell="1" allowOverlap="1" wp14:anchorId="09F8D1A6" wp14:editId="63B01612">
            <wp:simplePos x="0" y="0"/>
            <wp:positionH relativeFrom="column">
              <wp:posOffset>4254832</wp:posOffset>
            </wp:positionH>
            <wp:positionV relativeFrom="paragraph">
              <wp:posOffset>135918</wp:posOffset>
            </wp:positionV>
            <wp:extent cx="1671955" cy="2372360"/>
            <wp:effectExtent l="0" t="0" r="4445" b="8890"/>
            <wp:wrapSquare wrapText="bothSides"/>
            <wp:docPr id="1490494655" name="Picture 1" descr="A diagram of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94655" name="Picture 1" descr="A diagram of numbers and symbol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671955" cy="2372360"/>
                    </a:xfrm>
                    <a:prstGeom prst="rect">
                      <a:avLst/>
                    </a:prstGeom>
                  </pic:spPr>
                </pic:pic>
              </a:graphicData>
            </a:graphic>
            <wp14:sizeRelH relativeFrom="page">
              <wp14:pctWidth>0</wp14:pctWidth>
            </wp14:sizeRelH>
            <wp14:sizeRelV relativeFrom="page">
              <wp14:pctHeight>0</wp14:pctHeight>
            </wp14:sizeRelV>
          </wp:anchor>
        </w:drawing>
      </w:r>
    </w:p>
    <w:p w14:paraId="47AE07DF" w14:textId="2E53D16D"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 xml:space="preserve">Do you agree with how we have applied modulation to materials with different RAM categories? Our chosen approach sets amber RAM category fees at base fee, uplifts </w:t>
      </w:r>
      <w:proofErr w:type="gramStart"/>
      <w:r w:rsidRPr="00A802E7">
        <w:rPr>
          <w:rFonts w:ascii="Calibri" w:hAnsi="Calibri" w:cs="Calibri"/>
          <w:b/>
          <w:bCs/>
          <w:sz w:val="22"/>
          <w:szCs w:val="22"/>
        </w:rPr>
        <w:t>Red</w:t>
      </w:r>
      <w:proofErr w:type="gramEnd"/>
      <w:r w:rsidRPr="00A802E7">
        <w:rPr>
          <w:rFonts w:ascii="Calibri" w:hAnsi="Calibri" w:cs="Calibri"/>
          <w:b/>
          <w:bCs/>
          <w:sz w:val="22"/>
          <w:szCs w:val="22"/>
        </w:rPr>
        <w:t xml:space="preserve"> category fees by some modulation factor and then uses the excess raised from </w:t>
      </w:r>
      <w:proofErr w:type="gramStart"/>
      <w:r w:rsidRPr="00A802E7">
        <w:rPr>
          <w:rFonts w:ascii="Calibri" w:hAnsi="Calibri" w:cs="Calibri"/>
          <w:b/>
          <w:bCs/>
          <w:sz w:val="22"/>
          <w:szCs w:val="22"/>
        </w:rPr>
        <w:t>Red</w:t>
      </w:r>
      <w:proofErr w:type="gramEnd"/>
      <w:r w:rsidRPr="00A802E7">
        <w:rPr>
          <w:rFonts w:ascii="Calibri" w:hAnsi="Calibri" w:cs="Calibri"/>
          <w:b/>
          <w:bCs/>
          <w:sz w:val="22"/>
          <w:szCs w:val="22"/>
        </w:rPr>
        <w:t xml:space="preserve"> category materials to discount green fees by a calculated percentage discount (see picture)</w:t>
      </w:r>
      <w:r w:rsidR="00A802E7">
        <w:rPr>
          <w:rFonts w:ascii="Calibri" w:hAnsi="Calibri" w:cs="Calibri"/>
          <w:b/>
          <w:bCs/>
          <w:sz w:val="22"/>
          <w:szCs w:val="22"/>
        </w:rPr>
        <w:t>.</w:t>
      </w:r>
    </w:p>
    <w:p w14:paraId="270E4721" w14:textId="38E3CFD1" w:rsidR="002E716F" w:rsidRPr="00A802E7" w:rsidRDefault="002E716F" w:rsidP="002E716F">
      <w:pPr>
        <w:pStyle w:val="ListParagraph"/>
        <w:numPr>
          <w:ilvl w:val="0"/>
          <w:numId w:val="4"/>
        </w:numPr>
        <w:rPr>
          <w:rFonts w:ascii="Calibri" w:hAnsi="Calibri" w:cs="Calibri"/>
          <w:sz w:val="22"/>
          <w:szCs w:val="22"/>
        </w:rPr>
      </w:pPr>
      <w:r w:rsidRPr="00A802E7">
        <w:rPr>
          <w:rFonts w:ascii="Calibri" w:hAnsi="Calibri" w:cs="Calibri"/>
          <w:sz w:val="22"/>
          <w:szCs w:val="22"/>
        </w:rPr>
        <w:t>Yes</w:t>
      </w:r>
    </w:p>
    <w:p w14:paraId="62E6C910" w14:textId="52A4A9C1" w:rsidR="002E716F" w:rsidRPr="00A802E7" w:rsidRDefault="002E716F" w:rsidP="002E716F">
      <w:pPr>
        <w:pStyle w:val="ListParagraph"/>
        <w:numPr>
          <w:ilvl w:val="0"/>
          <w:numId w:val="4"/>
        </w:numPr>
        <w:rPr>
          <w:rFonts w:ascii="Calibri" w:hAnsi="Calibri" w:cs="Calibri"/>
          <w:sz w:val="22"/>
          <w:szCs w:val="22"/>
        </w:rPr>
      </w:pPr>
      <w:r w:rsidRPr="00A802E7">
        <w:rPr>
          <w:rFonts w:ascii="Calibri" w:hAnsi="Calibri" w:cs="Calibri"/>
          <w:sz w:val="22"/>
          <w:szCs w:val="22"/>
        </w:rPr>
        <w:t>No</w:t>
      </w:r>
    </w:p>
    <w:p w14:paraId="3B8677D3" w14:textId="44D7F15C" w:rsidR="002E716F" w:rsidRPr="00A802E7" w:rsidRDefault="002E716F" w:rsidP="002E716F">
      <w:pPr>
        <w:pStyle w:val="ListParagraph"/>
        <w:numPr>
          <w:ilvl w:val="0"/>
          <w:numId w:val="4"/>
        </w:numPr>
        <w:rPr>
          <w:rFonts w:ascii="Calibri" w:hAnsi="Calibri" w:cs="Calibri"/>
          <w:sz w:val="22"/>
          <w:szCs w:val="22"/>
        </w:rPr>
      </w:pPr>
      <w:r w:rsidRPr="00A802E7">
        <w:rPr>
          <w:rFonts w:ascii="Calibri" w:hAnsi="Calibri" w:cs="Calibri"/>
          <w:sz w:val="22"/>
          <w:szCs w:val="22"/>
        </w:rPr>
        <w:t>Unsure</w:t>
      </w:r>
    </w:p>
    <w:p w14:paraId="31A456F3" w14:textId="447D6018" w:rsidR="002E716F" w:rsidRDefault="002E716F" w:rsidP="002E716F">
      <w:pPr>
        <w:rPr>
          <w:rFonts w:ascii="Calibri" w:hAnsi="Calibri" w:cs="Calibri"/>
          <w:b/>
          <w:bCs/>
          <w:sz w:val="22"/>
          <w:szCs w:val="22"/>
        </w:rPr>
      </w:pPr>
    </w:p>
    <w:p w14:paraId="02BCBA2B" w14:textId="77777777" w:rsidR="00A802E7" w:rsidRPr="00A802E7" w:rsidRDefault="00A802E7" w:rsidP="002E716F">
      <w:pPr>
        <w:rPr>
          <w:rFonts w:ascii="Calibri" w:hAnsi="Calibri" w:cs="Calibri"/>
          <w:b/>
          <w:bCs/>
          <w:sz w:val="22"/>
          <w:szCs w:val="22"/>
        </w:rPr>
      </w:pPr>
    </w:p>
    <w:p w14:paraId="4CB0A63A" w14:textId="77777777" w:rsidR="00A802E7" w:rsidRDefault="002E716F" w:rsidP="00A802E7">
      <w:pPr>
        <w:pStyle w:val="ListParagraph"/>
        <w:numPr>
          <w:ilvl w:val="0"/>
          <w:numId w:val="1"/>
        </w:numPr>
        <w:rPr>
          <w:rFonts w:ascii="Calibri" w:hAnsi="Calibri" w:cs="Calibri"/>
          <w:b/>
          <w:bCs/>
          <w:sz w:val="22"/>
          <w:szCs w:val="22"/>
        </w:rPr>
      </w:pPr>
      <w:r w:rsidRPr="00A802E7">
        <w:rPr>
          <w:rFonts w:ascii="Calibri" w:hAnsi="Calibri" w:cs="Calibri"/>
          <w:b/>
          <w:bCs/>
          <w:sz w:val="22"/>
          <w:szCs w:val="22"/>
        </w:rPr>
        <w:t>How could our fee modulation methodology be improved?</w:t>
      </w:r>
      <w:r w:rsidRPr="00A802E7">
        <w:rPr>
          <w:rFonts w:ascii="Calibri" w:hAnsi="Calibri" w:cs="Calibri"/>
          <w:b/>
          <w:bCs/>
          <w:sz w:val="22"/>
          <w:szCs w:val="22"/>
        </w:rPr>
        <w:t xml:space="preserve"> </w:t>
      </w:r>
      <w:r w:rsidRPr="00A802E7">
        <w:rPr>
          <w:rFonts w:ascii="Calibri" w:hAnsi="Calibri" w:cs="Calibri"/>
          <w:sz w:val="22"/>
          <w:szCs w:val="22"/>
        </w:rPr>
        <w:t>Max. 2000 characters.</w:t>
      </w:r>
    </w:p>
    <w:p w14:paraId="0EFCCB4D" w14:textId="613D5AAE" w:rsidR="002E716F" w:rsidRPr="00A802E7" w:rsidRDefault="00A802E7" w:rsidP="00A802E7">
      <w:pPr>
        <w:pStyle w:val="ListParagraph"/>
        <w:numPr>
          <w:ilvl w:val="0"/>
          <w:numId w:val="1"/>
        </w:numPr>
        <w:rPr>
          <w:rFonts w:ascii="Calibri" w:hAnsi="Calibri" w:cs="Calibri"/>
          <w:b/>
          <w:bCs/>
          <w:sz w:val="22"/>
          <w:szCs w:val="22"/>
        </w:rPr>
      </w:pPr>
      <w:r w:rsidRPr="00A802E7">
        <w:lastRenderedPageBreak/>
        <w:drawing>
          <wp:anchor distT="0" distB="0" distL="114300" distR="114300" simplePos="0" relativeHeight="251659264" behindDoc="0" locked="0" layoutInCell="1" allowOverlap="1" wp14:anchorId="4778F940" wp14:editId="14577EAE">
            <wp:simplePos x="0" y="0"/>
            <wp:positionH relativeFrom="margin">
              <wp:posOffset>4376669</wp:posOffset>
            </wp:positionH>
            <wp:positionV relativeFrom="paragraph">
              <wp:posOffset>0</wp:posOffset>
            </wp:positionV>
            <wp:extent cx="1595755" cy="2289810"/>
            <wp:effectExtent l="0" t="0" r="4445" b="0"/>
            <wp:wrapSquare wrapText="bothSides"/>
            <wp:docPr id="2127315179" name="Picture 1" descr="A diagram of numbers and a number of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15179" name="Picture 1" descr="A diagram of numbers and a number of red and green line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595755" cy="2289810"/>
                    </a:xfrm>
                    <a:prstGeom prst="rect">
                      <a:avLst/>
                    </a:prstGeom>
                  </pic:spPr>
                </pic:pic>
              </a:graphicData>
            </a:graphic>
            <wp14:sizeRelH relativeFrom="page">
              <wp14:pctWidth>0</wp14:pctWidth>
            </wp14:sizeRelH>
            <wp14:sizeRelV relativeFrom="page">
              <wp14:pctHeight>0</wp14:pctHeight>
            </wp14:sizeRelV>
          </wp:anchor>
        </w:drawing>
      </w:r>
      <w:r w:rsidR="002E716F" w:rsidRPr="00A802E7">
        <w:rPr>
          <w:rFonts w:ascii="Calibri" w:hAnsi="Calibri" w:cs="Calibri"/>
          <w:b/>
          <w:bCs/>
          <w:sz w:val="22"/>
          <w:szCs w:val="22"/>
        </w:rPr>
        <w:t>Do you agree that the initial 2026 fee uplift for Red RAM category materials is at an appropriate level of 1.2 times the base fee, with the entire excess used to discount green category fees?</w:t>
      </w:r>
      <w:r w:rsidR="002E716F" w:rsidRPr="00A802E7">
        <w:rPr>
          <w:rFonts w:ascii="Calibri" w:hAnsi="Calibri" w:cs="Calibri"/>
          <w:b/>
          <w:bCs/>
          <w:noProof/>
          <w:sz w:val="22"/>
          <w:szCs w:val="22"/>
        </w:rPr>
        <w:t xml:space="preserve"> </w:t>
      </w:r>
    </w:p>
    <w:p w14:paraId="60A83E7C" w14:textId="77777777" w:rsidR="002E716F" w:rsidRPr="00A802E7" w:rsidRDefault="002E716F" w:rsidP="002E716F">
      <w:pPr>
        <w:pStyle w:val="ListParagraph"/>
        <w:numPr>
          <w:ilvl w:val="0"/>
          <w:numId w:val="5"/>
        </w:numPr>
        <w:rPr>
          <w:rFonts w:ascii="Calibri" w:hAnsi="Calibri" w:cs="Calibri"/>
          <w:sz w:val="22"/>
          <w:szCs w:val="22"/>
        </w:rPr>
      </w:pPr>
      <w:r w:rsidRPr="00A802E7">
        <w:rPr>
          <w:rFonts w:ascii="Calibri" w:hAnsi="Calibri" w:cs="Calibri"/>
          <w:sz w:val="22"/>
          <w:szCs w:val="22"/>
        </w:rPr>
        <w:t>Yes</w:t>
      </w:r>
    </w:p>
    <w:p w14:paraId="3171F453" w14:textId="77777777" w:rsidR="002E716F" w:rsidRPr="00A802E7" w:rsidRDefault="002E716F" w:rsidP="002E716F">
      <w:pPr>
        <w:pStyle w:val="ListParagraph"/>
        <w:numPr>
          <w:ilvl w:val="0"/>
          <w:numId w:val="5"/>
        </w:numPr>
        <w:rPr>
          <w:rFonts w:ascii="Calibri" w:hAnsi="Calibri" w:cs="Calibri"/>
          <w:sz w:val="22"/>
          <w:szCs w:val="22"/>
        </w:rPr>
      </w:pPr>
      <w:r w:rsidRPr="00A802E7">
        <w:rPr>
          <w:rFonts w:ascii="Calibri" w:hAnsi="Calibri" w:cs="Calibri"/>
          <w:sz w:val="22"/>
          <w:szCs w:val="22"/>
        </w:rPr>
        <w:t>No</w:t>
      </w:r>
    </w:p>
    <w:p w14:paraId="1448ACCD" w14:textId="7B845404" w:rsidR="002E716F" w:rsidRPr="00A802E7" w:rsidRDefault="002E716F" w:rsidP="002E716F">
      <w:pPr>
        <w:pStyle w:val="ListParagraph"/>
        <w:numPr>
          <w:ilvl w:val="0"/>
          <w:numId w:val="5"/>
        </w:numPr>
        <w:rPr>
          <w:rFonts w:ascii="Calibri" w:hAnsi="Calibri" w:cs="Calibri"/>
          <w:sz w:val="22"/>
          <w:szCs w:val="22"/>
        </w:rPr>
      </w:pPr>
      <w:r w:rsidRPr="00A802E7">
        <w:rPr>
          <w:rFonts w:ascii="Calibri" w:hAnsi="Calibri" w:cs="Calibri"/>
          <w:sz w:val="22"/>
          <w:szCs w:val="22"/>
        </w:rPr>
        <w:t>Unsure</w:t>
      </w:r>
    </w:p>
    <w:p w14:paraId="4A244578" w14:textId="77777777" w:rsidR="00A802E7" w:rsidRPr="00A802E7" w:rsidRDefault="00A802E7" w:rsidP="00A802E7">
      <w:pPr>
        <w:rPr>
          <w:rFonts w:ascii="Calibri" w:hAnsi="Calibri" w:cs="Calibri"/>
          <w:sz w:val="22"/>
          <w:szCs w:val="22"/>
        </w:rPr>
      </w:pPr>
    </w:p>
    <w:p w14:paraId="5C9297D7" w14:textId="446F0E80"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Is the 1.2x uplift for Red RAM category fees too high or too low in your view?</w:t>
      </w:r>
    </w:p>
    <w:p w14:paraId="7A985984" w14:textId="631F51B7" w:rsidR="002E716F" w:rsidRPr="00A802E7" w:rsidRDefault="002E716F" w:rsidP="002E716F">
      <w:pPr>
        <w:pStyle w:val="ListParagraph"/>
        <w:numPr>
          <w:ilvl w:val="0"/>
          <w:numId w:val="6"/>
        </w:numPr>
        <w:rPr>
          <w:rFonts w:ascii="Calibri" w:hAnsi="Calibri" w:cs="Calibri"/>
          <w:sz w:val="22"/>
          <w:szCs w:val="22"/>
        </w:rPr>
      </w:pPr>
      <w:r w:rsidRPr="00A802E7">
        <w:rPr>
          <w:rFonts w:ascii="Calibri" w:hAnsi="Calibri" w:cs="Calibri"/>
          <w:sz w:val="22"/>
          <w:szCs w:val="22"/>
        </w:rPr>
        <w:t>Too High (Red fees are too high at 1.2x base fee for 2026 invoices, they should be lower, which will mean a smaller discount for Green RAM category fees)</w:t>
      </w:r>
    </w:p>
    <w:p w14:paraId="6DCDFD42" w14:textId="77777777" w:rsidR="00A802E7" w:rsidRPr="00A802E7" w:rsidRDefault="002E716F" w:rsidP="002E716F">
      <w:pPr>
        <w:pStyle w:val="ListParagraph"/>
        <w:numPr>
          <w:ilvl w:val="0"/>
          <w:numId w:val="6"/>
        </w:numPr>
        <w:rPr>
          <w:rFonts w:ascii="Calibri" w:hAnsi="Calibri" w:cs="Calibri"/>
          <w:sz w:val="22"/>
          <w:szCs w:val="22"/>
        </w:rPr>
      </w:pPr>
      <w:r w:rsidRPr="00A802E7">
        <w:rPr>
          <w:rFonts w:ascii="Calibri" w:hAnsi="Calibri" w:cs="Calibri"/>
          <w:sz w:val="22"/>
          <w:szCs w:val="22"/>
        </w:rPr>
        <w:t>Too Low (Red fees are too low at 1.2x base fee for 2026 invoices, they should be higher, which will mean a larger discount for Green RAM category fees)</w:t>
      </w:r>
    </w:p>
    <w:p w14:paraId="1CA5DCE9" w14:textId="5823BB1C" w:rsidR="002E716F" w:rsidRPr="00A802E7" w:rsidRDefault="002E716F" w:rsidP="00A802E7">
      <w:pPr>
        <w:rPr>
          <w:rFonts w:ascii="Calibri" w:hAnsi="Calibri" w:cs="Calibri"/>
          <w:sz w:val="22"/>
          <w:szCs w:val="22"/>
        </w:rPr>
      </w:pPr>
      <w:r w:rsidRPr="00A802E7">
        <w:rPr>
          <w:rFonts w:ascii="Calibri" w:hAnsi="Calibri" w:cs="Calibri"/>
          <w:sz w:val="22"/>
          <w:szCs w:val="22"/>
        </w:rPr>
        <w:drawing>
          <wp:anchor distT="0" distB="0" distL="114300" distR="114300" simplePos="0" relativeHeight="251660288" behindDoc="0" locked="0" layoutInCell="1" allowOverlap="1" wp14:anchorId="164ACD40" wp14:editId="4E331A1C">
            <wp:simplePos x="0" y="0"/>
            <wp:positionH relativeFrom="margin">
              <wp:posOffset>4436828</wp:posOffset>
            </wp:positionH>
            <wp:positionV relativeFrom="paragraph">
              <wp:posOffset>211372</wp:posOffset>
            </wp:positionV>
            <wp:extent cx="1557020" cy="2226310"/>
            <wp:effectExtent l="0" t="0" r="5080" b="2540"/>
            <wp:wrapSquare wrapText="bothSides"/>
            <wp:docPr id="1054263131" name="Picture 1" descr="A diagram of numbers and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263131" name="Picture 1" descr="A diagram of numbers and a red lin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557020" cy="2226310"/>
                    </a:xfrm>
                    <a:prstGeom prst="rect">
                      <a:avLst/>
                    </a:prstGeom>
                  </pic:spPr>
                </pic:pic>
              </a:graphicData>
            </a:graphic>
            <wp14:sizeRelH relativeFrom="page">
              <wp14:pctWidth>0</wp14:pctWidth>
            </wp14:sizeRelH>
            <wp14:sizeRelV relativeFrom="page">
              <wp14:pctHeight>0</wp14:pctHeight>
            </wp14:sizeRelV>
          </wp:anchor>
        </w:drawing>
      </w:r>
    </w:p>
    <w:p w14:paraId="3D77CEAC" w14:textId="2B665A4C"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Do you agree with the policy of increasing Red RAM category fees beyond 2026 – to 1.6 times and 2.0 times base fee in 2027 and 2028, respectively, with a corresponding increase in the green category discount? Are these levels appropriate to drive change?</w:t>
      </w:r>
    </w:p>
    <w:p w14:paraId="359FCD2B" w14:textId="77777777" w:rsidR="002E716F" w:rsidRPr="00A802E7" w:rsidRDefault="002E716F" w:rsidP="002E716F">
      <w:pPr>
        <w:pStyle w:val="ListParagraph"/>
        <w:numPr>
          <w:ilvl w:val="0"/>
          <w:numId w:val="8"/>
        </w:numPr>
        <w:rPr>
          <w:rFonts w:ascii="Calibri" w:hAnsi="Calibri" w:cs="Calibri"/>
          <w:sz w:val="22"/>
          <w:szCs w:val="22"/>
        </w:rPr>
      </w:pPr>
      <w:r w:rsidRPr="00A802E7">
        <w:rPr>
          <w:rFonts w:ascii="Calibri" w:hAnsi="Calibri" w:cs="Calibri"/>
          <w:sz w:val="22"/>
          <w:szCs w:val="22"/>
        </w:rPr>
        <w:t>Yes</w:t>
      </w:r>
    </w:p>
    <w:p w14:paraId="4E8EC38F" w14:textId="77777777" w:rsidR="002E716F" w:rsidRPr="00A802E7" w:rsidRDefault="002E716F" w:rsidP="002E716F">
      <w:pPr>
        <w:pStyle w:val="ListParagraph"/>
        <w:numPr>
          <w:ilvl w:val="0"/>
          <w:numId w:val="8"/>
        </w:numPr>
        <w:rPr>
          <w:rFonts w:ascii="Calibri" w:hAnsi="Calibri" w:cs="Calibri"/>
          <w:sz w:val="22"/>
          <w:szCs w:val="22"/>
        </w:rPr>
      </w:pPr>
      <w:r w:rsidRPr="00A802E7">
        <w:rPr>
          <w:rFonts w:ascii="Calibri" w:hAnsi="Calibri" w:cs="Calibri"/>
          <w:sz w:val="22"/>
          <w:szCs w:val="22"/>
        </w:rPr>
        <w:t>No</w:t>
      </w:r>
    </w:p>
    <w:p w14:paraId="55F13617" w14:textId="77777777" w:rsidR="002E716F" w:rsidRPr="00A802E7" w:rsidRDefault="002E716F" w:rsidP="002E716F">
      <w:pPr>
        <w:pStyle w:val="ListParagraph"/>
        <w:numPr>
          <w:ilvl w:val="0"/>
          <w:numId w:val="8"/>
        </w:numPr>
        <w:rPr>
          <w:rFonts w:ascii="Calibri" w:hAnsi="Calibri" w:cs="Calibri"/>
          <w:sz w:val="22"/>
          <w:szCs w:val="22"/>
        </w:rPr>
      </w:pPr>
      <w:r w:rsidRPr="00A802E7">
        <w:rPr>
          <w:rFonts w:ascii="Calibri" w:hAnsi="Calibri" w:cs="Calibri"/>
          <w:sz w:val="22"/>
          <w:szCs w:val="22"/>
        </w:rPr>
        <w:t>Unsure</w:t>
      </w:r>
    </w:p>
    <w:p w14:paraId="734F3C82" w14:textId="77777777" w:rsidR="002E716F" w:rsidRPr="00A802E7" w:rsidRDefault="002E716F" w:rsidP="002E716F">
      <w:pPr>
        <w:rPr>
          <w:rFonts w:ascii="Calibri" w:hAnsi="Calibri" w:cs="Calibri"/>
          <w:sz w:val="22"/>
          <w:szCs w:val="22"/>
        </w:rPr>
      </w:pPr>
    </w:p>
    <w:p w14:paraId="4B04BC86" w14:textId="28BF739F"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 xml:space="preserve">Are the 1.6 times base fee and 2.0 times base fee factors for </w:t>
      </w:r>
      <w:proofErr w:type="gramStart"/>
      <w:r w:rsidRPr="00A802E7">
        <w:rPr>
          <w:rFonts w:ascii="Calibri" w:hAnsi="Calibri" w:cs="Calibri"/>
          <w:b/>
          <w:bCs/>
          <w:sz w:val="22"/>
          <w:szCs w:val="22"/>
        </w:rPr>
        <w:t>Red</w:t>
      </w:r>
      <w:proofErr w:type="gramEnd"/>
      <w:r w:rsidRPr="00A802E7">
        <w:rPr>
          <w:rFonts w:ascii="Calibri" w:hAnsi="Calibri" w:cs="Calibri"/>
          <w:b/>
          <w:bCs/>
          <w:sz w:val="22"/>
          <w:szCs w:val="22"/>
        </w:rPr>
        <w:t xml:space="preserve"> fees in 2027 and 2028 too low or too high, in your view?</w:t>
      </w:r>
    </w:p>
    <w:p w14:paraId="113ECCB8" w14:textId="2DD8825B" w:rsidR="002E716F" w:rsidRPr="00A802E7" w:rsidRDefault="002E716F" w:rsidP="002E716F">
      <w:pPr>
        <w:pStyle w:val="ListParagraph"/>
        <w:numPr>
          <w:ilvl w:val="0"/>
          <w:numId w:val="9"/>
        </w:numPr>
        <w:rPr>
          <w:rFonts w:ascii="Calibri" w:hAnsi="Calibri" w:cs="Calibri"/>
          <w:sz w:val="22"/>
          <w:szCs w:val="22"/>
        </w:rPr>
      </w:pPr>
      <w:r w:rsidRPr="00A802E7">
        <w:rPr>
          <w:rFonts w:ascii="Calibri" w:hAnsi="Calibri" w:cs="Calibri"/>
          <w:sz w:val="22"/>
          <w:szCs w:val="22"/>
        </w:rPr>
        <w:t xml:space="preserve">Too high (Red fees will be too high at the 1.6x and 2.0x factors proposed for 2027 and 2028 invoices, respectively, the </w:t>
      </w:r>
      <w:proofErr w:type="gramStart"/>
      <w:r w:rsidRPr="00A802E7">
        <w:rPr>
          <w:rFonts w:ascii="Calibri" w:hAnsi="Calibri" w:cs="Calibri"/>
          <w:sz w:val="22"/>
          <w:szCs w:val="22"/>
        </w:rPr>
        <w:t>Red</w:t>
      </w:r>
      <w:proofErr w:type="gramEnd"/>
      <w:r w:rsidRPr="00A802E7">
        <w:rPr>
          <w:rFonts w:ascii="Calibri" w:hAnsi="Calibri" w:cs="Calibri"/>
          <w:sz w:val="22"/>
          <w:szCs w:val="22"/>
        </w:rPr>
        <w:t xml:space="preserve"> category fees should be lower, which will mean a smaller discount on </w:t>
      </w:r>
      <w:proofErr w:type="gramStart"/>
      <w:r w:rsidRPr="00A802E7">
        <w:rPr>
          <w:rFonts w:ascii="Calibri" w:hAnsi="Calibri" w:cs="Calibri"/>
          <w:sz w:val="22"/>
          <w:szCs w:val="22"/>
        </w:rPr>
        <w:t>Green</w:t>
      </w:r>
      <w:proofErr w:type="gramEnd"/>
      <w:r w:rsidRPr="00A802E7">
        <w:rPr>
          <w:rFonts w:ascii="Calibri" w:hAnsi="Calibri" w:cs="Calibri"/>
          <w:sz w:val="22"/>
          <w:szCs w:val="22"/>
        </w:rPr>
        <w:t xml:space="preserve"> category fees)</w:t>
      </w:r>
    </w:p>
    <w:p w14:paraId="78D897ED" w14:textId="6FE4B1E8" w:rsidR="002E716F" w:rsidRPr="00A802E7" w:rsidRDefault="002E716F" w:rsidP="002E716F">
      <w:pPr>
        <w:pStyle w:val="ListParagraph"/>
        <w:numPr>
          <w:ilvl w:val="0"/>
          <w:numId w:val="9"/>
        </w:numPr>
        <w:rPr>
          <w:rFonts w:ascii="Calibri" w:hAnsi="Calibri" w:cs="Calibri"/>
          <w:sz w:val="22"/>
          <w:szCs w:val="22"/>
        </w:rPr>
      </w:pPr>
      <w:r w:rsidRPr="00A802E7">
        <w:rPr>
          <w:rFonts w:ascii="Calibri" w:hAnsi="Calibri" w:cs="Calibri"/>
          <w:sz w:val="22"/>
          <w:szCs w:val="22"/>
        </w:rPr>
        <w:t xml:space="preserve">Too low (Red fees will be too low at the 1.6x and 2.0x factors proposed for 2027 and 2028 invoices, respectively, the </w:t>
      </w:r>
      <w:proofErr w:type="gramStart"/>
      <w:r w:rsidRPr="00A802E7">
        <w:rPr>
          <w:rFonts w:ascii="Calibri" w:hAnsi="Calibri" w:cs="Calibri"/>
          <w:sz w:val="22"/>
          <w:szCs w:val="22"/>
        </w:rPr>
        <w:t>Red</w:t>
      </w:r>
      <w:proofErr w:type="gramEnd"/>
      <w:r w:rsidRPr="00A802E7">
        <w:rPr>
          <w:rFonts w:ascii="Calibri" w:hAnsi="Calibri" w:cs="Calibri"/>
          <w:sz w:val="22"/>
          <w:szCs w:val="22"/>
        </w:rPr>
        <w:t xml:space="preserve"> category fees should be higher to fund a greater discount on </w:t>
      </w:r>
      <w:proofErr w:type="gramStart"/>
      <w:r w:rsidRPr="00A802E7">
        <w:rPr>
          <w:rFonts w:ascii="Calibri" w:hAnsi="Calibri" w:cs="Calibri"/>
          <w:sz w:val="22"/>
          <w:szCs w:val="22"/>
        </w:rPr>
        <w:t>Green</w:t>
      </w:r>
      <w:proofErr w:type="gramEnd"/>
      <w:r w:rsidRPr="00A802E7">
        <w:rPr>
          <w:rFonts w:ascii="Calibri" w:hAnsi="Calibri" w:cs="Calibri"/>
          <w:sz w:val="22"/>
          <w:szCs w:val="22"/>
        </w:rPr>
        <w:t xml:space="preserve"> category fees)</w:t>
      </w:r>
    </w:p>
    <w:p w14:paraId="600FF83F" w14:textId="77777777" w:rsidR="002E716F" w:rsidRPr="00A802E7" w:rsidRDefault="002E716F" w:rsidP="002E716F">
      <w:pPr>
        <w:rPr>
          <w:rFonts w:ascii="Calibri" w:hAnsi="Calibri" w:cs="Calibri"/>
          <w:sz w:val="22"/>
          <w:szCs w:val="22"/>
        </w:rPr>
      </w:pPr>
    </w:p>
    <w:p w14:paraId="7170CB1A" w14:textId="363D3CA5"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Having seen the fee factors proposed, do you foresee changing any of your existing plans to use more recyclable materials in your packaging? (Optional: If you do not produce packaging, do you foresee changes in the industry more broadly)?</w:t>
      </w:r>
    </w:p>
    <w:p w14:paraId="2726545D" w14:textId="0A14B80F" w:rsidR="002E716F" w:rsidRPr="00A802E7" w:rsidRDefault="002E716F" w:rsidP="002E716F">
      <w:pPr>
        <w:pStyle w:val="ListParagraph"/>
        <w:numPr>
          <w:ilvl w:val="0"/>
          <w:numId w:val="10"/>
        </w:numPr>
        <w:rPr>
          <w:rFonts w:ascii="Calibri" w:hAnsi="Calibri" w:cs="Calibri"/>
          <w:sz w:val="22"/>
          <w:szCs w:val="22"/>
        </w:rPr>
      </w:pPr>
      <w:r w:rsidRPr="00A802E7">
        <w:rPr>
          <w:rFonts w:ascii="Calibri" w:hAnsi="Calibri" w:cs="Calibri"/>
          <w:sz w:val="22"/>
          <w:szCs w:val="22"/>
        </w:rPr>
        <w:t>Yes</w:t>
      </w:r>
    </w:p>
    <w:p w14:paraId="23849058" w14:textId="7EE6D3B3" w:rsidR="002E716F" w:rsidRPr="00A802E7" w:rsidRDefault="002E716F" w:rsidP="002E716F">
      <w:pPr>
        <w:pStyle w:val="ListParagraph"/>
        <w:numPr>
          <w:ilvl w:val="0"/>
          <w:numId w:val="10"/>
        </w:numPr>
        <w:rPr>
          <w:rFonts w:ascii="Calibri" w:hAnsi="Calibri" w:cs="Calibri"/>
          <w:sz w:val="22"/>
          <w:szCs w:val="22"/>
        </w:rPr>
      </w:pPr>
      <w:r w:rsidRPr="00A802E7">
        <w:rPr>
          <w:rFonts w:ascii="Calibri" w:hAnsi="Calibri" w:cs="Calibri"/>
          <w:sz w:val="22"/>
          <w:szCs w:val="22"/>
        </w:rPr>
        <w:t>No</w:t>
      </w:r>
    </w:p>
    <w:p w14:paraId="5C4F3644" w14:textId="42E51762" w:rsidR="002E716F" w:rsidRPr="00A802E7" w:rsidRDefault="002E716F" w:rsidP="002E716F">
      <w:pPr>
        <w:pStyle w:val="ListParagraph"/>
        <w:numPr>
          <w:ilvl w:val="0"/>
          <w:numId w:val="10"/>
        </w:numPr>
        <w:rPr>
          <w:rFonts w:ascii="Calibri" w:hAnsi="Calibri" w:cs="Calibri"/>
          <w:sz w:val="22"/>
          <w:szCs w:val="22"/>
        </w:rPr>
      </w:pPr>
      <w:r w:rsidRPr="00A802E7">
        <w:rPr>
          <w:rFonts w:ascii="Calibri" w:hAnsi="Calibri" w:cs="Calibri"/>
          <w:sz w:val="22"/>
          <w:szCs w:val="22"/>
        </w:rPr>
        <w:t>Unsure</w:t>
      </w:r>
    </w:p>
    <w:p w14:paraId="5DC6F845" w14:textId="77777777" w:rsidR="002E716F" w:rsidRPr="00A802E7" w:rsidRDefault="002E716F" w:rsidP="002E716F">
      <w:pPr>
        <w:rPr>
          <w:rFonts w:ascii="Calibri" w:hAnsi="Calibri" w:cs="Calibri"/>
          <w:sz w:val="22"/>
          <w:szCs w:val="22"/>
        </w:rPr>
      </w:pPr>
    </w:p>
    <w:p w14:paraId="51650071" w14:textId="391A01ED"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lastRenderedPageBreak/>
        <w:t xml:space="preserve">Add more details (optional). </w:t>
      </w:r>
      <w:r w:rsidRPr="00A802E7">
        <w:rPr>
          <w:rFonts w:ascii="Calibri" w:hAnsi="Calibri" w:cs="Calibri"/>
          <w:sz w:val="22"/>
          <w:szCs w:val="22"/>
        </w:rPr>
        <w:t>Max 2000 characters.</w:t>
      </w:r>
    </w:p>
    <w:p w14:paraId="3659F6A4" w14:textId="77777777" w:rsidR="002E716F" w:rsidRPr="00A802E7" w:rsidRDefault="002E716F" w:rsidP="002E716F">
      <w:pPr>
        <w:rPr>
          <w:rFonts w:ascii="Calibri" w:hAnsi="Calibri" w:cs="Calibri"/>
          <w:sz w:val="22"/>
          <w:szCs w:val="22"/>
        </w:rPr>
      </w:pPr>
    </w:p>
    <w:p w14:paraId="2AA2A571" w14:textId="301B3D80"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 xml:space="preserve">How many years of fixed fee factors should </w:t>
      </w:r>
      <w:proofErr w:type="spellStart"/>
      <w:r w:rsidRPr="00A802E7">
        <w:rPr>
          <w:rFonts w:ascii="Calibri" w:hAnsi="Calibri" w:cs="Calibri"/>
          <w:b/>
          <w:bCs/>
          <w:sz w:val="22"/>
          <w:szCs w:val="22"/>
        </w:rPr>
        <w:t>PackUK</w:t>
      </w:r>
      <w:proofErr w:type="spellEnd"/>
      <w:r w:rsidRPr="00A802E7">
        <w:rPr>
          <w:rFonts w:ascii="Calibri" w:hAnsi="Calibri" w:cs="Calibri"/>
          <w:b/>
          <w:bCs/>
          <w:sz w:val="22"/>
          <w:szCs w:val="22"/>
        </w:rPr>
        <w:t xml:space="preserve"> aim to provide in future in advance to provide sufficient certainty and to drive investment in switching to more sustainable packaging?</w:t>
      </w:r>
    </w:p>
    <w:p w14:paraId="24FE6DA3" w14:textId="1DD69FAE" w:rsidR="002E716F" w:rsidRPr="00A802E7" w:rsidRDefault="002E716F" w:rsidP="002E716F">
      <w:pPr>
        <w:pStyle w:val="ListParagraph"/>
        <w:numPr>
          <w:ilvl w:val="0"/>
          <w:numId w:val="11"/>
        </w:numPr>
        <w:rPr>
          <w:rFonts w:ascii="Calibri" w:hAnsi="Calibri" w:cs="Calibri"/>
          <w:sz w:val="22"/>
          <w:szCs w:val="22"/>
        </w:rPr>
      </w:pPr>
      <w:r w:rsidRPr="00A802E7">
        <w:rPr>
          <w:rFonts w:ascii="Calibri" w:hAnsi="Calibri" w:cs="Calibri"/>
          <w:sz w:val="22"/>
          <w:szCs w:val="22"/>
        </w:rPr>
        <w:t>3 years</w:t>
      </w:r>
    </w:p>
    <w:p w14:paraId="3CD7477B" w14:textId="53EAE275" w:rsidR="002E716F" w:rsidRPr="00A802E7" w:rsidRDefault="002E716F" w:rsidP="002E716F">
      <w:pPr>
        <w:pStyle w:val="ListParagraph"/>
        <w:numPr>
          <w:ilvl w:val="0"/>
          <w:numId w:val="11"/>
        </w:numPr>
        <w:rPr>
          <w:rFonts w:ascii="Calibri" w:hAnsi="Calibri" w:cs="Calibri"/>
          <w:sz w:val="22"/>
          <w:szCs w:val="22"/>
        </w:rPr>
      </w:pPr>
      <w:r w:rsidRPr="00A802E7">
        <w:rPr>
          <w:rFonts w:ascii="Calibri" w:hAnsi="Calibri" w:cs="Calibri"/>
          <w:sz w:val="22"/>
          <w:szCs w:val="22"/>
        </w:rPr>
        <w:t>5 years</w:t>
      </w:r>
    </w:p>
    <w:p w14:paraId="62FD98BE" w14:textId="2B423CF0" w:rsidR="002E716F" w:rsidRPr="00A802E7" w:rsidRDefault="002E716F" w:rsidP="002E716F">
      <w:pPr>
        <w:pStyle w:val="ListParagraph"/>
        <w:numPr>
          <w:ilvl w:val="0"/>
          <w:numId w:val="11"/>
        </w:numPr>
        <w:rPr>
          <w:rFonts w:ascii="Calibri" w:hAnsi="Calibri" w:cs="Calibri"/>
          <w:sz w:val="22"/>
          <w:szCs w:val="22"/>
        </w:rPr>
      </w:pPr>
      <w:r w:rsidRPr="00A802E7">
        <w:rPr>
          <w:rFonts w:ascii="Calibri" w:hAnsi="Calibri" w:cs="Calibri"/>
          <w:sz w:val="22"/>
          <w:szCs w:val="22"/>
        </w:rPr>
        <w:t>10 years or more</w:t>
      </w:r>
    </w:p>
    <w:p w14:paraId="581AB562" w14:textId="6AEDC628" w:rsidR="002E716F" w:rsidRPr="00A802E7" w:rsidRDefault="002E716F" w:rsidP="002E716F">
      <w:pPr>
        <w:pStyle w:val="ListParagraph"/>
        <w:numPr>
          <w:ilvl w:val="0"/>
          <w:numId w:val="11"/>
        </w:numPr>
        <w:rPr>
          <w:rFonts w:ascii="Calibri" w:hAnsi="Calibri" w:cs="Calibri"/>
          <w:sz w:val="22"/>
          <w:szCs w:val="22"/>
        </w:rPr>
      </w:pPr>
      <w:r w:rsidRPr="00A802E7">
        <w:rPr>
          <w:rFonts w:ascii="Calibri" w:hAnsi="Calibri" w:cs="Calibri"/>
          <w:sz w:val="22"/>
          <w:szCs w:val="22"/>
        </w:rPr>
        <w:t>Unsure</w:t>
      </w:r>
    </w:p>
    <w:p w14:paraId="7B0C8347" w14:textId="77777777" w:rsidR="002E716F" w:rsidRPr="00A802E7" w:rsidRDefault="002E716F" w:rsidP="002E716F">
      <w:pPr>
        <w:rPr>
          <w:rFonts w:ascii="Calibri" w:hAnsi="Calibri" w:cs="Calibri"/>
          <w:b/>
          <w:bCs/>
          <w:sz w:val="22"/>
          <w:szCs w:val="22"/>
        </w:rPr>
      </w:pPr>
    </w:p>
    <w:p w14:paraId="19B3D482" w14:textId="064893AA" w:rsidR="002E716F" w:rsidRPr="00A802E7" w:rsidRDefault="002E716F" w:rsidP="002E716F">
      <w:pPr>
        <w:pStyle w:val="ListParagraph"/>
        <w:numPr>
          <w:ilvl w:val="0"/>
          <w:numId w:val="1"/>
        </w:numPr>
        <w:rPr>
          <w:rFonts w:ascii="Calibri" w:hAnsi="Calibri" w:cs="Calibri"/>
          <w:b/>
          <w:bCs/>
          <w:sz w:val="22"/>
          <w:szCs w:val="22"/>
        </w:rPr>
      </w:pPr>
      <w:r w:rsidRPr="00A802E7">
        <w:rPr>
          <w:rFonts w:ascii="Calibri" w:hAnsi="Calibri" w:cs="Calibri"/>
          <w:b/>
          <w:bCs/>
          <w:sz w:val="22"/>
          <w:szCs w:val="22"/>
        </w:rPr>
        <w:t>Please add any comments you would like to share with us regarding fee modulation for packaging Extended Producer Responsibility (optional)</w:t>
      </w:r>
      <w:r w:rsidRPr="00A802E7">
        <w:rPr>
          <w:rFonts w:ascii="Calibri" w:hAnsi="Calibri" w:cs="Calibri"/>
          <w:b/>
          <w:bCs/>
          <w:sz w:val="22"/>
          <w:szCs w:val="22"/>
        </w:rPr>
        <w:t xml:space="preserve">. </w:t>
      </w:r>
      <w:r w:rsidRPr="00A802E7">
        <w:rPr>
          <w:rFonts w:ascii="Calibri" w:hAnsi="Calibri" w:cs="Calibri"/>
          <w:sz w:val="22"/>
          <w:szCs w:val="22"/>
        </w:rPr>
        <w:t>Max 3000 characters.</w:t>
      </w:r>
    </w:p>
    <w:sectPr w:rsidR="002E716F" w:rsidRPr="00A802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331EE"/>
    <w:multiLevelType w:val="hybridMultilevel"/>
    <w:tmpl w:val="55B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36D76"/>
    <w:multiLevelType w:val="hybridMultilevel"/>
    <w:tmpl w:val="1B4C7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64630"/>
    <w:multiLevelType w:val="hybridMultilevel"/>
    <w:tmpl w:val="B388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01F91"/>
    <w:multiLevelType w:val="hybridMultilevel"/>
    <w:tmpl w:val="77F67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80604"/>
    <w:multiLevelType w:val="hybridMultilevel"/>
    <w:tmpl w:val="026E8D2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114058"/>
    <w:multiLevelType w:val="hybridMultilevel"/>
    <w:tmpl w:val="508A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F7F57"/>
    <w:multiLevelType w:val="hybridMultilevel"/>
    <w:tmpl w:val="D2C0A4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4291B0A"/>
    <w:multiLevelType w:val="hybridMultilevel"/>
    <w:tmpl w:val="3FC8463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E375E06"/>
    <w:multiLevelType w:val="hybridMultilevel"/>
    <w:tmpl w:val="9602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5F6517"/>
    <w:multiLevelType w:val="hybridMultilevel"/>
    <w:tmpl w:val="EA0C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1B046A"/>
    <w:multiLevelType w:val="hybridMultilevel"/>
    <w:tmpl w:val="FA9A6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540315">
    <w:abstractNumId w:val="6"/>
  </w:num>
  <w:num w:numId="2" w16cid:durableId="748424133">
    <w:abstractNumId w:val="5"/>
  </w:num>
  <w:num w:numId="3" w16cid:durableId="1238634124">
    <w:abstractNumId w:val="8"/>
  </w:num>
  <w:num w:numId="4" w16cid:durableId="973873434">
    <w:abstractNumId w:val="1"/>
  </w:num>
  <w:num w:numId="5" w16cid:durableId="2047633030">
    <w:abstractNumId w:val="4"/>
  </w:num>
  <w:num w:numId="6" w16cid:durableId="1218511738">
    <w:abstractNumId w:val="2"/>
  </w:num>
  <w:num w:numId="7" w16cid:durableId="1006588806">
    <w:abstractNumId w:val="0"/>
  </w:num>
  <w:num w:numId="8" w16cid:durableId="18241815">
    <w:abstractNumId w:val="7"/>
  </w:num>
  <w:num w:numId="9" w16cid:durableId="816801052">
    <w:abstractNumId w:val="3"/>
  </w:num>
  <w:num w:numId="10" w16cid:durableId="486166815">
    <w:abstractNumId w:val="9"/>
  </w:num>
  <w:num w:numId="11" w16cid:durableId="18561880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16F"/>
    <w:rsid w:val="002E716F"/>
    <w:rsid w:val="00A802E7"/>
    <w:rsid w:val="00E04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814C0"/>
  <w15:chartTrackingRefBased/>
  <w15:docId w15:val="{44C5D21C-778E-4F90-A652-FFBB50777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1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71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71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71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1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1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1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1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1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1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71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71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71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1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16F"/>
    <w:rPr>
      <w:rFonts w:eastAsiaTheme="majorEastAsia" w:cstheme="majorBidi"/>
      <w:color w:val="272727" w:themeColor="text1" w:themeTint="D8"/>
    </w:rPr>
  </w:style>
  <w:style w:type="paragraph" w:styleId="Title">
    <w:name w:val="Title"/>
    <w:basedOn w:val="Normal"/>
    <w:next w:val="Normal"/>
    <w:link w:val="TitleChar"/>
    <w:uiPriority w:val="10"/>
    <w:qFormat/>
    <w:rsid w:val="002E7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1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16F"/>
    <w:pPr>
      <w:spacing w:before="160"/>
      <w:jc w:val="center"/>
    </w:pPr>
    <w:rPr>
      <w:i/>
      <w:iCs/>
      <w:color w:val="404040" w:themeColor="text1" w:themeTint="BF"/>
    </w:rPr>
  </w:style>
  <w:style w:type="character" w:customStyle="1" w:styleId="QuoteChar">
    <w:name w:val="Quote Char"/>
    <w:basedOn w:val="DefaultParagraphFont"/>
    <w:link w:val="Quote"/>
    <w:uiPriority w:val="29"/>
    <w:rsid w:val="002E716F"/>
    <w:rPr>
      <w:i/>
      <w:iCs/>
      <w:color w:val="404040" w:themeColor="text1" w:themeTint="BF"/>
    </w:rPr>
  </w:style>
  <w:style w:type="paragraph" w:styleId="ListParagraph">
    <w:name w:val="List Paragraph"/>
    <w:basedOn w:val="Normal"/>
    <w:uiPriority w:val="34"/>
    <w:qFormat/>
    <w:rsid w:val="002E716F"/>
    <w:pPr>
      <w:ind w:left="720"/>
      <w:contextualSpacing/>
    </w:pPr>
  </w:style>
  <w:style w:type="character" w:styleId="IntenseEmphasis">
    <w:name w:val="Intense Emphasis"/>
    <w:basedOn w:val="DefaultParagraphFont"/>
    <w:uiPriority w:val="21"/>
    <w:qFormat/>
    <w:rsid w:val="002E716F"/>
    <w:rPr>
      <w:i/>
      <w:iCs/>
      <w:color w:val="0F4761" w:themeColor="accent1" w:themeShade="BF"/>
    </w:rPr>
  </w:style>
  <w:style w:type="paragraph" w:styleId="IntenseQuote">
    <w:name w:val="Intense Quote"/>
    <w:basedOn w:val="Normal"/>
    <w:next w:val="Normal"/>
    <w:link w:val="IntenseQuoteChar"/>
    <w:uiPriority w:val="30"/>
    <w:qFormat/>
    <w:rsid w:val="002E71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16F"/>
    <w:rPr>
      <w:i/>
      <w:iCs/>
      <w:color w:val="0F4761" w:themeColor="accent1" w:themeShade="BF"/>
    </w:rPr>
  </w:style>
  <w:style w:type="character" w:styleId="IntenseReference">
    <w:name w:val="Intense Reference"/>
    <w:basedOn w:val="DefaultParagraphFont"/>
    <w:uiPriority w:val="32"/>
    <w:qFormat/>
    <w:rsid w:val="002E716F"/>
    <w:rPr>
      <w:b/>
      <w:bCs/>
      <w:smallCaps/>
      <w:color w:val="0F4761" w:themeColor="accent1" w:themeShade="BF"/>
      <w:spacing w:val="5"/>
    </w:rPr>
  </w:style>
  <w:style w:type="character" w:styleId="Hyperlink">
    <w:name w:val="Hyperlink"/>
    <w:basedOn w:val="DefaultParagraphFont"/>
    <w:uiPriority w:val="99"/>
    <w:unhideWhenUsed/>
    <w:rsid w:val="002E716F"/>
    <w:rPr>
      <w:color w:val="467886" w:themeColor="hyperlink"/>
      <w:u w:val="single"/>
    </w:rPr>
  </w:style>
  <w:style w:type="character" w:styleId="UnresolvedMention">
    <w:name w:val="Unresolved Mention"/>
    <w:basedOn w:val="DefaultParagraphFont"/>
    <w:uiPriority w:val="99"/>
    <w:semiHidden/>
    <w:unhideWhenUsed/>
    <w:rsid w:val="002E71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835610">
      <w:bodyDiv w:val="1"/>
      <w:marLeft w:val="0"/>
      <w:marRight w:val="0"/>
      <w:marTop w:val="0"/>
      <w:marBottom w:val="0"/>
      <w:divBdr>
        <w:top w:val="none" w:sz="0" w:space="0" w:color="auto"/>
        <w:left w:val="none" w:sz="0" w:space="0" w:color="auto"/>
        <w:bottom w:val="none" w:sz="0" w:space="0" w:color="auto"/>
        <w:right w:val="none" w:sz="0" w:space="0" w:color="auto"/>
      </w:divBdr>
      <w:divsChild>
        <w:div w:id="1227571425">
          <w:marLeft w:val="0"/>
          <w:marRight w:val="0"/>
          <w:marTop w:val="0"/>
          <w:marBottom w:val="0"/>
          <w:divBdr>
            <w:top w:val="none" w:sz="0" w:space="0" w:color="auto"/>
            <w:left w:val="none" w:sz="0" w:space="0" w:color="auto"/>
            <w:bottom w:val="none" w:sz="0" w:space="0" w:color="auto"/>
            <w:right w:val="none" w:sz="0" w:space="0" w:color="auto"/>
          </w:divBdr>
          <w:divsChild>
            <w:div w:id="1939941754">
              <w:marLeft w:val="0"/>
              <w:marRight w:val="0"/>
              <w:marTop w:val="0"/>
              <w:marBottom w:val="0"/>
              <w:divBdr>
                <w:top w:val="none" w:sz="0" w:space="0" w:color="auto"/>
                <w:left w:val="none" w:sz="0" w:space="0" w:color="auto"/>
                <w:bottom w:val="none" w:sz="0" w:space="0" w:color="auto"/>
                <w:right w:val="none" w:sz="0" w:space="0" w:color="auto"/>
              </w:divBdr>
              <w:divsChild>
                <w:div w:id="42658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558855">
      <w:bodyDiv w:val="1"/>
      <w:marLeft w:val="0"/>
      <w:marRight w:val="0"/>
      <w:marTop w:val="0"/>
      <w:marBottom w:val="0"/>
      <w:divBdr>
        <w:top w:val="none" w:sz="0" w:space="0" w:color="auto"/>
        <w:left w:val="none" w:sz="0" w:space="0" w:color="auto"/>
        <w:bottom w:val="none" w:sz="0" w:space="0" w:color="auto"/>
        <w:right w:val="none" w:sz="0" w:space="0" w:color="auto"/>
      </w:divBdr>
      <w:divsChild>
        <w:div w:id="1167554623">
          <w:marLeft w:val="0"/>
          <w:marRight w:val="0"/>
          <w:marTop w:val="0"/>
          <w:marBottom w:val="0"/>
          <w:divBdr>
            <w:top w:val="none" w:sz="0" w:space="0" w:color="auto"/>
            <w:left w:val="none" w:sz="0" w:space="0" w:color="auto"/>
            <w:bottom w:val="none" w:sz="0" w:space="0" w:color="auto"/>
            <w:right w:val="none" w:sz="0" w:space="0" w:color="auto"/>
          </w:divBdr>
          <w:divsChild>
            <w:div w:id="1557625953">
              <w:marLeft w:val="0"/>
              <w:marRight w:val="0"/>
              <w:marTop w:val="0"/>
              <w:marBottom w:val="0"/>
              <w:divBdr>
                <w:top w:val="none" w:sz="0" w:space="0" w:color="auto"/>
                <w:left w:val="none" w:sz="0" w:space="0" w:color="auto"/>
                <w:bottom w:val="none" w:sz="0" w:space="0" w:color="auto"/>
                <w:right w:val="none" w:sz="0" w:space="0" w:color="auto"/>
              </w:divBdr>
              <w:divsChild>
                <w:div w:id="139909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hyperlink" Target="https://forms.office.com/pages/responsepage.aspx?id=UCQKdycCYkyQx044U38RAu-9dNkYT-VLoR7sWugnQlNUQ0swOEJHRFNYRU1JMjZaUDU4RUwwQk1GRi4u&amp;route=shortur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7E54725EBD524EBAE40A534367A423" ma:contentTypeVersion="15" ma:contentTypeDescription="Create a new document." ma:contentTypeScope="" ma:versionID="3f886566e76f72866b242db34d61f081">
  <xsd:schema xmlns:xsd="http://www.w3.org/2001/XMLSchema" xmlns:xs="http://www.w3.org/2001/XMLSchema" xmlns:p="http://schemas.microsoft.com/office/2006/metadata/properties" xmlns:ns2="4cb57864-6b04-4eca-a5f2-18fd8012ff80" xmlns:ns3="5348f108-7db9-4b9d-a49e-e261836f7e17" targetNamespace="http://schemas.microsoft.com/office/2006/metadata/properties" ma:root="true" ma:fieldsID="94f753034e30b36f546e3ef6744b1b15" ns2:_="" ns3:_="">
    <xsd:import namespace="4cb57864-6b04-4eca-a5f2-18fd8012ff80"/>
    <xsd:import namespace="5348f108-7db9-4b9d-a49e-e261836f7e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b57864-6b04-4eca-a5f2-18fd8012ff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bfd279e-497e-40c9-993e-b7e378b970c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48f108-7db9-4b9d-a49e-e261836f7e1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9930ab0-5ff5-4f3b-9416-817dc2e79d9c}" ma:internalName="TaxCatchAll" ma:showField="CatchAllData" ma:web="5348f108-7db9-4b9d-a49e-e261836f7e1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b57864-6b04-4eca-a5f2-18fd8012ff80">
      <Terms xmlns="http://schemas.microsoft.com/office/infopath/2007/PartnerControls"/>
    </lcf76f155ced4ddcb4097134ff3c332f>
    <TaxCatchAll xmlns="5348f108-7db9-4b9d-a49e-e261836f7e17" xsi:nil="true"/>
  </documentManagement>
</p:properties>
</file>

<file path=customXml/itemProps1.xml><?xml version="1.0" encoding="utf-8"?>
<ds:datastoreItem xmlns:ds="http://schemas.openxmlformats.org/officeDocument/2006/customXml" ds:itemID="{10970EFA-9DDC-4DA0-91B8-A0714DE5FF29}"/>
</file>

<file path=customXml/itemProps2.xml><?xml version="1.0" encoding="utf-8"?>
<ds:datastoreItem xmlns:ds="http://schemas.openxmlformats.org/officeDocument/2006/customXml" ds:itemID="{FE55A045-A015-4576-9F93-0BCE91A6567E}"/>
</file>

<file path=customXml/itemProps3.xml><?xml version="1.0" encoding="utf-8"?>
<ds:datastoreItem xmlns:ds="http://schemas.openxmlformats.org/officeDocument/2006/customXml" ds:itemID="{0EE6C15B-77D9-41E7-B897-AA24F06A4834}"/>
</file>

<file path=docProps/app.xml><?xml version="1.0" encoding="utf-8"?>
<Properties xmlns="http://schemas.openxmlformats.org/officeDocument/2006/extended-properties" xmlns:vt="http://schemas.openxmlformats.org/officeDocument/2006/docPropsVTypes">
  <Template>Normal</Template>
  <TotalTime>15</TotalTime>
  <Pages>3</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McEvoy</dc:creator>
  <cp:keywords/>
  <dc:description/>
  <cp:lastModifiedBy>Rachael McEvoy</cp:lastModifiedBy>
  <cp:revision>1</cp:revision>
  <dcterms:created xsi:type="dcterms:W3CDTF">2025-04-01T14:57:00Z</dcterms:created>
  <dcterms:modified xsi:type="dcterms:W3CDTF">2025-04-01T15:12:00Z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0x010100157E54725EBD524EBAE40A534367A423</vt:lpwstr>
  </property>
</Properties>
</file>